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val="0"/>
        <w:snapToGrid w:val="0"/>
        <w:spacing w:line="1200" w:lineRule="exact"/>
        <w:textAlignment w:val="auto"/>
        <w:rPr>
          <w:rFonts w:hint="default" w:ascii="Times New Roman" w:hAnsi="Times New Roman" w:cs="Times New Roman"/>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b w:val="0"/>
          <w:bCs w:val="0"/>
          <w:color w:val="auto"/>
          <w:spacing w:val="20"/>
          <w:w w:val="100"/>
          <w:kern w:val="0"/>
          <w:sz w:val="44"/>
          <w:szCs w:val="44"/>
          <w:highlight w:val="none"/>
          <w:lang w:val="en-US" w:eastAsia="zh-CN"/>
        </w:rPr>
      </w:pPr>
      <w:r>
        <w:rPr>
          <w:rFonts w:hint="default" w:ascii="Times New Roman" w:hAnsi="Times New Roman" w:eastAsia="方正小标宋_GBK"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b w:val="0"/>
          <w:bCs w:val="0"/>
          <w:color w:val="auto"/>
          <w:spacing w:val="20"/>
          <w:w w:val="100"/>
          <w:kern w:val="0"/>
          <w:sz w:val="44"/>
          <w:szCs w:val="44"/>
          <w:highlight w:val="none"/>
          <w:lang w:val="en-US" w:eastAsia="zh-CN"/>
        </w:rPr>
      </w:pPr>
      <w:r>
        <w:rPr>
          <w:rFonts w:hint="default" w:ascii="Times New Roman" w:hAnsi="Times New Roman" w:eastAsia="方正小标宋_GBK"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015</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sz w:val="32"/>
          <w:szCs w:val="32"/>
        </w:rPr>
      </w:pPr>
      <w:bookmarkStart w:id="0" w:name="bookmark3"/>
      <w:r>
        <w:rPr>
          <w:rFonts w:hint="default" w:ascii="Times New Roman" w:hAnsi="Times New Roman" w:eastAsia="黑体" w:cs="Times New Roman"/>
          <w:color w:val="000000"/>
          <w:spacing w:val="0"/>
          <w:w w:val="100"/>
          <w:position w:val="0"/>
          <w:sz w:val="32"/>
          <w:szCs w:val="32"/>
        </w:rPr>
        <w:t>一</w:t>
      </w:r>
      <w:bookmarkEnd w:id="0"/>
      <w:r>
        <w:rPr>
          <w:rFonts w:hint="default" w:ascii="Times New Roman" w:hAnsi="Times New Roman" w:eastAsia="黑体" w:cs="Times New Roman"/>
          <w:color w:val="000000"/>
          <w:spacing w:val="0"/>
          <w:w w:val="100"/>
          <w:position w:val="0"/>
          <w:sz w:val="32"/>
          <w:szCs w:val="32"/>
        </w:rPr>
        <w:t>、网上挂牌出让地块基本情况及规划指标要求（见附表）</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sz w:val="32"/>
          <w:szCs w:val="32"/>
        </w:rPr>
      </w:pPr>
      <w:bookmarkStart w:id="1" w:name="bookmark4"/>
      <w:r>
        <w:rPr>
          <w:rFonts w:hint="default" w:ascii="Times New Roman" w:hAnsi="Times New Roman" w:eastAsia="黑体" w:cs="Times New Roman"/>
          <w:color w:val="000000"/>
          <w:spacing w:val="0"/>
          <w:w w:val="100"/>
          <w:position w:val="0"/>
          <w:sz w:val="32"/>
          <w:szCs w:val="32"/>
        </w:rPr>
        <w:t>二</w:t>
      </w:r>
      <w:bookmarkEnd w:id="1"/>
      <w:r>
        <w:rPr>
          <w:rFonts w:hint="default" w:ascii="Times New Roman" w:hAnsi="Times New Roman" w:eastAsia="黑体" w:cs="Times New Roman"/>
          <w:color w:val="000000"/>
          <w:spacing w:val="0"/>
          <w:w w:val="100"/>
          <w:position w:val="0"/>
          <w:sz w:val="32"/>
          <w:szCs w:val="32"/>
        </w:rPr>
        <w:t>、挂牌起始价及加价幅度</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default" w:ascii="Times New Roman" w:hAnsi="Times New Roman" w:eastAsia="仿宋_GB2312" w:cs="Times New Roman"/>
          <w:color w:val="000000"/>
          <w:spacing w:val="0"/>
          <w:w w:val="100"/>
          <w:position w:val="0"/>
          <w:sz w:val="32"/>
          <w:szCs w:val="32"/>
          <w:lang w:val="en-US" w:eastAsia="zh-CN"/>
        </w:rPr>
        <w:t>4482</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default" w:ascii="Times New Roman" w:hAnsi="Times New Roman" w:eastAsia="仿宋_GB2312" w:cs="Times New Roman"/>
          <w:color w:val="000000"/>
          <w:spacing w:val="0"/>
          <w:w w:val="100"/>
          <w:position w:val="0"/>
          <w:sz w:val="32"/>
          <w:szCs w:val="32"/>
          <w:lang w:val="en-US" w:eastAsia="zh-CN"/>
        </w:rPr>
        <w:t>50</w:t>
      </w:r>
      <w:r>
        <w:rPr>
          <w:rFonts w:hint="default" w:ascii="Times New Roman" w:hAnsi="Times New Roman" w:eastAsia="仿宋_GB2312" w:cs="Times New Roman"/>
          <w:color w:val="000000"/>
          <w:spacing w:val="0"/>
          <w:w w:val="100"/>
          <w:position w:val="0"/>
          <w:sz w:val="32"/>
          <w:szCs w:val="32"/>
        </w:rPr>
        <w:t>万元的整数倍。</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 w:name="bookmark5"/>
      <w:r>
        <w:rPr>
          <w:rFonts w:hint="default" w:ascii="Times New Roman" w:hAnsi="Times New Roman" w:eastAsia="黑体" w:cs="Times New Roman"/>
          <w:color w:val="000000"/>
          <w:spacing w:val="0"/>
          <w:w w:val="100"/>
          <w:position w:val="0"/>
          <w:sz w:val="32"/>
          <w:szCs w:val="32"/>
        </w:rPr>
        <w:t>三</w:t>
      </w:r>
      <w:bookmarkEnd w:id="2"/>
      <w:r>
        <w:rPr>
          <w:rFonts w:hint="default" w:ascii="Times New Roman" w:hAnsi="Times New Roman" w:eastAsia="黑体" w:cs="Times New Roman"/>
          <w:color w:val="000000"/>
          <w:spacing w:val="0"/>
          <w:w w:val="100"/>
          <w:position w:val="0"/>
          <w:sz w:val="32"/>
          <w:szCs w:val="32"/>
        </w:rPr>
        <w:t>、时间安排</w:t>
      </w:r>
    </w:p>
    <w:p>
      <w:pPr>
        <w:pStyle w:val="15"/>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9"/>
      <w:r>
        <w:rPr>
          <w:rFonts w:hint="default" w:ascii="Times New Roman" w:hAnsi="Times New Roman" w:eastAsia="仿宋_GB2312" w:cs="Times New Roman"/>
          <w:color w:val="000000"/>
          <w:spacing w:val="0"/>
          <w:w w:val="100"/>
          <w:position w:val="0"/>
          <w:sz w:val="32"/>
          <w:szCs w:val="32"/>
          <w:highlight w:val="none"/>
        </w:rPr>
        <w:t>（一）公告时间：</w:t>
      </w:r>
      <w:r>
        <w:rPr>
          <w:rFonts w:hint="default"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default" w:ascii="Times New Roman" w:hAnsi="Times New Roman" w:eastAsia="仿宋_GB2312" w:cs="Times New Roman"/>
          <w:color w:val="000000"/>
          <w:spacing w:val="0"/>
          <w:w w:val="100"/>
          <w:position w:val="0"/>
          <w:sz w:val="32"/>
          <w:szCs w:val="32"/>
          <w:highlight w:val="none"/>
          <w:lang w:val="en-US" w:eastAsia="zh-CN"/>
        </w:rPr>
        <w:t>30</w:t>
      </w:r>
      <w:r>
        <w:rPr>
          <w:rFonts w:hint="default" w:ascii="Times New Roman" w:hAnsi="Times New Roman" w:eastAsia="仿宋_GB2312" w:cs="Times New Roman"/>
          <w:color w:val="000000"/>
          <w:spacing w:val="0"/>
          <w:w w:val="100"/>
          <w:position w:val="0"/>
          <w:sz w:val="32"/>
          <w:szCs w:val="32"/>
          <w:highlight w:val="none"/>
        </w:rPr>
        <w:t>日至202</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19</w:t>
      </w:r>
      <w:r>
        <w:rPr>
          <w:rFonts w:hint="default" w:ascii="Times New Roman" w:hAnsi="Times New Roman" w:eastAsia="仿宋_GB2312" w:cs="Times New Roman"/>
          <w:color w:val="000000"/>
          <w:spacing w:val="0"/>
          <w:w w:val="100"/>
          <w:position w:val="0"/>
          <w:sz w:val="32"/>
          <w:szCs w:val="32"/>
          <w:highlight w:val="none"/>
        </w:rPr>
        <w:t>日。</w:t>
      </w:r>
    </w:p>
    <w:p>
      <w:pPr>
        <w:pStyle w:val="15"/>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19</w:t>
      </w:r>
      <w:r>
        <w:rPr>
          <w:rFonts w:hint="default" w:ascii="Times New Roman" w:hAnsi="Times New Roman" w:eastAsia="仿宋_GB2312" w:cs="Times New Roman"/>
          <w:color w:val="000000"/>
          <w:spacing w:val="0"/>
          <w:w w:val="100"/>
          <w:position w:val="0"/>
          <w:sz w:val="32"/>
          <w:szCs w:val="32"/>
          <w:highlight w:val="none"/>
        </w:rPr>
        <w:t>日9时至202</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日10时。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right="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日9时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四</w:t>
      </w:r>
      <w:bookmarkEnd w:id="3"/>
      <w:r>
        <w:rPr>
          <w:rFonts w:hint="default" w:ascii="Times New Roman" w:hAnsi="Times New Roman" w:eastAsia="黑体" w:cs="Times New Roman"/>
          <w:color w:val="000000"/>
          <w:spacing w:val="0"/>
          <w:w w:val="100"/>
          <w:position w:val="0"/>
          <w:sz w:val="32"/>
          <w:szCs w:val="32"/>
        </w:rPr>
        <w:t>、竞买资格及要求</w:t>
      </w:r>
      <w:bookmarkStart w:id="34" w:name="_GoBack"/>
      <w:bookmarkEnd w:id="34"/>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40" w:lineRule="exact"/>
        <w:ind w:left="0" w:right="0" w:firstLine="640"/>
        <w:jc w:val="both"/>
        <w:textAlignment w:val="auto"/>
        <w:outlineLvl w:val="9"/>
        <w:rPr>
          <w:rFonts w:hint="default" w:ascii="Times New Roman" w:hAnsi="Times New Roman" w:eastAsia="仿宋_GB2312" w:cs="Times New Roman"/>
          <w:sz w:val="32"/>
          <w:szCs w:val="32"/>
        </w:rPr>
      </w:pPr>
      <w:bookmarkStart w:id="4" w:name="bookmark10"/>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一）缴交竞买保证金</w:t>
      </w:r>
      <w:r>
        <w:rPr>
          <w:rFonts w:hint="default" w:ascii="Times New Roman" w:hAnsi="Times New Roman" w:eastAsia="仿宋_GB2312" w:cs="Times New Roman"/>
          <w:bCs/>
          <w:sz w:val="32"/>
          <w:szCs w:val="32"/>
          <w:highlight w:val="none"/>
          <w:lang w:val="en-US" w:eastAsia="zh-CN"/>
        </w:rPr>
        <w:t>897</w:t>
      </w:r>
      <w:r>
        <w:rPr>
          <w:rFonts w:hint="default" w:ascii="Times New Roman" w:hAnsi="Times New Roman" w:eastAsia="仿宋_GB2312" w:cs="Times New Roman"/>
          <w:color w:val="000000"/>
          <w:spacing w:val="0"/>
          <w:w w:val="100"/>
          <w:position w:val="0"/>
          <w:sz w:val="32"/>
          <w:szCs w:val="32"/>
        </w:rPr>
        <w:t>万元人民币；</w:t>
      </w:r>
    </w:p>
    <w:p>
      <w:pPr>
        <w:pStyle w:val="15"/>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40" w:lineRule="exact"/>
        <w:ind w:left="0" w:right="0" w:firstLine="640"/>
        <w:jc w:val="both"/>
        <w:textAlignment w:val="auto"/>
        <w:outlineLvl w:val="9"/>
        <w:rPr>
          <w:rFonts w:hint="default" w:ascii="Times New Roman" w:hAnsi="Times New Roman" w:eastAsia="仿宋_GB2312" w:cs="Times New Roman"/>
          <w:sz w:val="32"/>
          <w:szCs w:val="32"/>
        </w:rPr>
      </w:pPr>
      <w:bookmarkStart w:id="5" w:name="bookmark11"/>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二）拖欠地价款、闲置土地、囤地炒地、有违法或不良信用记录的企业及其控股股东不得参与竞买。</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6" w:name="bookmark12"/>
      <w:r>
        <w:rPr>
          <w:rFonts w:hint="default" w:ascii="Times New Roman" w:hAnsi="Times New Roman" w:eastAsia="黑体" w:cs="Times New Roman"/>
          <w:color w:val="000000"/>
          <w:spacing w:val="0"/>
          <w:w w:val="100"/>
          <w:position w:val="0"/>
          <w:sz w:val="32"/>
          <w:szCs w:val="32"/>
        </w:rPr>
        <w:t>五</w:t>
      </w:r>
      <w:bookmarkEnd w:id="6"/>
      <w:r>
        <w:rPr>
          <w:rFonts w:hint="default" w:ascii="Times New Roman" w:hAnsi="Times New Roman" w:eastAsia="黑体" w:cs="Times New Roman"/>
          <w:color w:val="000000"/>
          <w:spacing w:val="0"/>
          <w:w w:val="100"/>
          <w:position w:val="0"/>
          <w:sz w:val="32"/>
          <w:szCs w:val="32"/>
        </w:rPr>
        <w:t>、需要说明的事项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pacing w:val="0"/>
          <w:w w:val="100"/>
          <w:position w:val="0"/>
          <w:sz w:val="32"/>
          <w:szCs w:val="32"/>
        </w:rPr>
      </w:pPr>
      <w:bookmarkStart w:id="7" w:name="bookmark13"/>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一</w:t>
      </w:r>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8" w:name="bookmark14"/>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9" w:name="bookmark15"/>
      <w:r>
        <w:rPr>
          <w:rFonts w:hint="default" w:ascii="Times New Roman" w:hAnsi="Times New Roman" w:eastAsia="仿宋_GB2312" w:cs="Times New Roman"/>
          <w:color w:val="000000"/>
          <w:spacing w:val="0"/>
          <w:w w:val="100"/>
          <w:position w:val="0"/>
          <w:sz w:val="32"/>
          <w:szCs w:val="32"/>
        </w:rPr>
        <w:t>（</w:t>
      </w:r>
      <w:bookmarkEnd w:id="9"/>
      <w:r>
        <w:rPr>
          <w:rFonts w:hint="default"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highlight w:val="none"/>
          <w:lang w:val="en-US" w:eastAsia="zh-CN" w:bidi="ar-SA"/>
        </w:rPr>
        <w:t>惠州潼湖生态智慧区管理委员会</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16"/>
      <w:r>
        <w:rPr>
          <w:rFonts w:hint="default" w:ascii="Times New Roman" w:hAnsi="Times New Roman" w:eastAsia="仿宋_GB2312" w:cs="Times New Roman"/>
          <w:color w:val="000000"/>
          <w:spacing w:val="0"/>
          <w:w w:val="100"/>
          <w:position w:val="0"/>
          <w:sz w:val="32"/>
          <w:szCs w:val="32"/>
        </w:rPr>
        <w:t>（</w:t>
      </w:r>
      <w:bookmarkEnd w:id="10"/>
      <w:r>
        <w:rPr>
          <w:rFonts w:hint="default"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highlight w:val="none"/>
          <w:lang w:val="en-US" w:eastAsia="zh-CN" w:bidi="ar-SA"/>
        </w:rPr>
        <w:t>惠州潼湖生态智慧区管理委员会</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1" w:name="bookmark17"/>
      <w:r>
        <w:rPr>
          <w:rFonts w:hint="default" w:ascii="Times New Roman" w:hAnsi="Times New Roman" w:eastAsia="黑体" w:cs="Times New Roman"/>
          <w:color w:val="000000"/>
          <w:spacing w:val="0"/>
          <w:w w:val="100"/>
          <w:position w:val="0"/>
          <w:sz w:val="32"/>
          <w:szCs w:val="32"/>
        </w:rPr>
        <w:t>六</w:t>
      </w:r>
      <w:bookmarkEnd w:id="11"/>
      <w:r>
        <w:rPr>
          <w:rFonts w:hint="default" w:ascii="Times New Roman" w:hAnsi="Times New Roman" w:eastAsia="黑体" w:cs="Times New Roman"/>
          <w:color w:val="000000"/>
          <w:spacing w:val="0"/>
          <w:w w:val="100"/>
          <w:position w:val="0"/>
          <w:sz w:val="32"/>
          <w:szCs w:val="32"/>
        </w:rPr>
        <w:t>、竞买保证金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8"/>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rPr>
        <w:t>一）该宗地竞买保证金为人民币</w:t>
      </w:r>
      <w:r>
        <w:rPr>
          <w:rFonts w:hint="default" w:ascii="Times New Roman" w:hAnsi="Times New Roman" w:eastAsia="仿宋_GB2312" w:cs="Times New Roman"/>
          <w:bCs/>
          <w:sz w:val="32"/>
          <w:szCs w:val="32"/>
          <w:highlight w:val="none"/>
          <w:lang w:val="en-US" w:eastAsia="zh-CN"/>
        </w:rPr>
        <w:t>897</w:t>
      </w:r>
      <w:r>
        <w:rPr>
          <w:rFonts w:hint="default" w:ascii="Times New Roman" w:hAnsi="Times New Roman" w:eastAsia="仿宋_GB2312" w:cs="Times New Roman"/>
          <w:color w:val="000000"/>
          <w:spacing w:val="0"/>
          <w:w w:val="100"/>
          <w:position w:val="0"/>
          <w:sz w:val="32"/>
          <w:szCs w:val="32"/>
        </w:rPr>
        <w:t>万元。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9"/>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4" w:name="bookmark20"/>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5" w:name="bookmark21"/>
      <w:r>
        <w:rPr>
          <w:rFonts w:hint="default" w:ascii="Times New Roman" w:hAnsi="Times New Roman" w:eastAsia="黑体" w:cs="Times New Roman"/>
          <w:color w:val="000000"/>
          <w:spacing w:val="0"/>
          <w:w w:val="100"/>
          <w:position w:val="0"/>
          <w:sz w:val="32"/>
          <w:szCs w:val="32"/>
        </w:rPr>
        <w:t>七</w:t>
      </w:r>
      <w:bookmarkEnd w:id="15"/>
      <w:r>
        <w:rPr>
          <w:rFonts w:hint="default" w:ascii="Times New Roman" w:hAnsi="Times New Roman" w:eastAsia="黑体" w:cs="Times New Roman"/>
          <w:color w:val="000000"/>
          <w:spacing w:val="0"/>
          <w:w w:val="100"/>
          <w:position w:val="0"/>
          <w:sz w:val="32"/>
          <w:szCs w:val="32"/>
        </w:rPr>
        <w:t>、竞买申请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6" w:name="bookmark22"/>
      <w:r>
        <w:rPr>
          <w:rFonts w:hint="default" w:ascii="Times New Roman" w:hAnsi="Times New Roman" w:eastAsia="黑体" w:cs="Times New Roman"/>
          <w:color w:val="000000"/>
          <w:spacing w:val="0"/>
          <w:w w:val="100"/>
          <w:position w:val="0"/>
          <w:sz w:val="32"/>
          <w:szCs w:val="32"/>
        </w:rPr>
        <w:t>八</w:t>
      </w:r>
      <w:bookmarkEnd w:id="16"/>
      <w:r>
        <w:rPr>
          <w:rFonts w:hint="default" w:ascii="Times New Roman" w:hAnsi="Times New Roman" w:eastAsia="黑体" w:cs="Times New Roman"/>
          <w:color w:val="000000"/>
          <w:spacing w:val="0"/>
          <w:w w:val="100"/>
          <w:position w:val="0"/>
          <w:sz w:val="32"/>
          <w:szCs w:val="32"/>
        </w:rPr>
        <w:t>、竞买人电子报价及电子限时竞价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7" w:name="bookmark23"/>
      <w:r>
        <w:rPr>
          <w:rFonts w:hint="default" w:ascii="Times New Roman" w:hAnsi="Times New Roman" w:eastAsia="黑体" w:cs="Times New Roman"/>
          <w:color w:val="000000"/>
          <w:spacing w:val="0"/>
          <w:w w:val="100"/>
          <w:position w:val="0"/>
          <w:sz w:val="32"/>
          <w:szCs w:val="32"/>
        </w:rPr>
        <w:t>九</w:t>
      </w:r>
      <w:bookmarkEnd w:id="17"/>
      <w:r>
        <w:rPr>
          <w:rFonts w:hint="default" w:ascii="Times New Roman" w:hAnsi="Times New Roman" w:eastAsia="黑体" w:cs="Times New Roman"/>
          <w:color w:val="000000"/>
          <w:spacing w:val="0"/>
          <w:w w:val="100"/>
          <w:position w:val="0"/>
          <w:sz w:val="32"/>
          <w:szCs w:val="32"/>
        </w:rPr>
        <w:t>、确定成交候选人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十、资格审查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成交候选人应在网上挂牌交易系统确定成交候选人之日起5个工作日内将竞买申请纸质材料上传至土地与矿业网上挂牌交易系统，由我局对竞买资格进行审查。我局将于 2023 年5月</w:t>
      </w:r>
      <w:r>
        <w:rPr>
          <w:rFonts w:hint="eastAsia" w:ascii="Times New Roman" w:hAnsi="Times New Roman" w:eastAsia="仿宋_GB2312" w:cs="Times New Roman"/>
          <w:color w:val="000000"/>
          <w:spacing w:val="0"/>
          <w:w w:val="100"/>
          <w:position w:val="0"/>
          <w:sz w:val="32"/>
          <w:szCs w:val="32"/>
          <w:lang w:val="en-US" w:eastAsia="zh-CN"/>
        </w:rPr>
        <w:t>11</w:t>
      </w:r>
      <w:r>
        <w:rPr>
          <w:rFonts w:hint="default" w:ascii="Times New Roman" w:hAnsi="Times New Roman" w:eastAsia="仿宋_GB2312" w:cs="Times New Roman"/>
          <w:color w:val="000000"/>
          <w:spacing w:val="0"/>
          <w:w w:val="100"/>
          <w:position w:val="0"/>
          <w:sz w:val="32"/>
          <w:szCs w:val="32"/>
        </w:rPr>
        <w:t>日前确定符合竞买资格的成交候选人为竞得人</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成交候选人上传材料的具体操作详见网上挂牌交易系统资料下载栏目中的《惠州市公共资源交易中心土地与矿业交易系统新增建设功能操作指南》</w:t>
      </w:r>
      <w:r>
        <w:rPr>
          <w:rFonts w:hint="default"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一式两份</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4"/>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一）《竞买申请书》（加盖公章）；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5"/>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二）《竞价结果通知书》（加盖公章）；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6"/>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7"/>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8"/>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9"/>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bookmarkStart w:id="24" w:name="bookmark30"/>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七）授权他人代理的授权委托书及代理人身份证复印件 （加盖公章）</w:t>
      </w:r>
      <w:r>
        <w:rPr>
          <w:rFonts w:hint="default"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lang w:eastAsia="zh-CN"/>
        </w:rPr>
        <w:t>）惠州仲恺高新技术产业开发区科技创新局出具的与本公告宗地要求对应产业类型一致的优先发展产业项目文件复印件（</w:t>
      </w:r>
      <w:r>
        <w:rPr>
          <w:rFonts w:hint="default" w:ascii="Times New Roman" w:hAnsi="Times New Roman" w:eastAsia="仿宋_GB2312" w:cs="Times New Roman"/>
          <w:color w:val="000000"/>
          <w:spacing w:val="0"/>
          <w:w w:val="100"/>
          <w:position w:val="0"/>
          <w:sz w:val="32"/>
          <w:szCs w:val="32"/>
        </w:rPr>
        <w:t>加盖公章</w:t>
      </w:r>
      <w:r>
        <w:rPr>
          <w:rFonts w:hint="default"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十一、签订成交确认书、出让合同及支付土地出让金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十二、竞买保证金退还或转付成交价款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十三、违规责任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1"/>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一）不符合竞买资格条件的；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2"/>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3"/>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bookmarkStart w:id="28" w:name="bookmark34"/>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default"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十四、其他需要公告的事项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5"/>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6"/>
      <w:r>
        <w:rPr>
          <w:rFonts w:hint="default" w:ascii="Times New Roman" w:hAnsi="Times New Roman" w:eastAsia="仿宋_GB2312" w:cs="Times New Roman"/>
          <w:color w:val="000000"/>
          <w:spacing w:val="0"/>
          <w:w w:val="100"/>
          <w:position w:val="0"/>
          <w:sz w:val="32"/>
          <w:szCs w:val="32"/>
          <w:lang w:val="zh-CN" w:eastAsia="zh-CN"/>
        </w:rPr>
        <w:t>（</w:t>
      </w:r>
      <w:bookmarkEnd w:id="30"/>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7"/>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8"/>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9"/>
      <w:r>
        <w:rPr>
          <w:rFonts w:hint="default" w:ascii="Times New Roman" w:hAnsi="Times New Roman" w:eastAsia="仿宋_GB2312" w:cs="Times New Roman"/>
          <w:color w:val="000000"/>
          <w:spacing w:val="0"/>
          <w:w w:val="100"/>
          <w:position w:val="0"/>
          <w:sz w:val="32"/>
          <w:szCs w:val="32"/>
        </w:rPr>
        <w:t>（</w:t>
      </w:r>
      <w:bookmarkEnd w:id="33"/>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4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lang w:val="en-US" w:eastAsia="zh-CN"/>
        </w:rPr>
        <w:t>十五</w:t>
      </w:r>
      <w:r>
        <w:rPr>
          <w:rFonts w:hint="default" w:ascii="Times New Roman" w:hAnsi="Times New Roman" w:eastAsia="黑体" w:cs="Times New Roman"/>
          <w:color w:val="000000"/>
          <w:spacing w:val="0"/>
          <w:w w:val="100"/>
          <w:position w:val="0"/>
          <w:sz w:val="32"/>
          <w:szCs w:val="32"/>
        </w:rPr>
        <w:t>、联系方式</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w:t>
      </w:r>
      <w:r>
        <w:rPr>
          <w:rFonts w:hint="default" w:ascii="Times New Roman" w:hAnsi="Times New Roman" w:eastAsia="仿宋_GB2312" w:cs="Times New Roman"/>
          <w:color w:val="000000"/>
          <w:spacing w:val="0"/>
          <w:w w:val="100"/>
          <w:position w:val="0"/>
          <w:sz w:val="32"/>
          <w:szCs w:val="32"/>
          <w:lang w:val="en-US" w:eastAsia="zh-CN"/>
        </w:rPr>
        <w:t>胡女士</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default" w:ascii="Times New Roman" w:hAnsi="Times New Roman" w:eastAsia="仿宋_GB2312" w:cs="Times New Roman"/>
          <w:color w:val="000000"/>
          <w:spacing w:val="0"/>
          <w:w w:val="100"/>
          <w:position w:val="0"/>
          <w:sz w:val="32"/>
          <w:szCs w:val="32"/>
          <w:lang w:val="en-US" w:eastAsia="zh-CN"/>
        </w:rPr>
        <w:t>01</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10楼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房女士 欧阳先生</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zh-TW" w:eastAsia="zh-TW"/>
        </w:rPr>
      </w:pPr>
      <w:r>
        <w:rPr>
          <w:rFonts w:hint="default" w:ascii="Times New Roman" w:hAnsi="Times New Roman" w:eastAsia="仿宋_GB2312" w:cs="Times New Roman"/>
          <w:color w:val="000000"/>
          <w:spacing w:val="0"/>
          <w:w w:val="100"/>
          <w:position w:val="0"/>
          <w:sz w:val="32"/>
          <w:szCs w:val="32"/>
          <w:lang w:val="en-US" w:eastAsia="en-US"/>
        </w:rPr>
        <w:t>广东省公共资源交易平台: https://ygpgdzwfw.gov.cn/</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3"/>
        <w:keepNext w:val="0"/>
        <w:keepLines w:val="0"/>
        <w:pageBreakBefore w:val="0"/>
        <w:widowControl w:val="0"/>
        <w:kinsoku/>
        <w:wordWrap/>
        <w:overflowPunct/>
        <w:topLinePunct w:val="0"/>
        <w:autoSpaceDE/>
        <w:autoSpaceDN/>
        <w:bidi w:val="0"/>
        <w:adjustRightInd/>
        <w:snapToGrid/>
        <w:spacing w:line="54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4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 xml:space="preserve">日       </w:t>
      </w:r>
    </w:p>
    <w:p>
      <w:pPr>
        <w:pStyle w:val="7"/>
        <w:wordWrap/>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bCs w:val="0"/>
          <w:color w:val="auto"/>
          <w:sz w:val="32"/>
          <w:szCs w:val="32"/>
          <w:highlight w:val="none"/>
        </w:rPr>
      </w:pPr>
      <w:r>
        <w:rPr>
          <w:rFonts w:hint="default" w:ascii="Times New Roman" w:hAnsi="Times New Roman" w:eastAsia="方正小标宋_GBK" w:cs="Times New Roman"/>
          <w:b w:val="0"/>
          <w:bCs w:val="0"/>
          <w:color w:val="auto"/>
          <w:sz w:val="32"/>
          <w:szCs w:val="32"/>
          <w:highlight w:val="none"/>
        </w:rPr>
        <w:t>挂牌起始价及地块规划建设要求等主要指标附表</w:t>
      </w:r>
    </w:p>
    <w:tbl>
      <w:tblPr>
        <w:tblStyle w:val="5"/>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地块挂牌编号</w:t>
            </w:r>
          </w:p>
        </w:tc>
        <w:tc>
          <w:tcPr>
            <w:tcW w:w="709"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位置</w:t>
            </w:r>
          </w:p>
        </w:tc>
        <w:tc>
          <w:tcPr>
            <w:tcW w:w="661"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用地</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编号</w:t>
            </w:r>
          </w:p>
        </w:tc>
        <w:tc>
          <w:tcPr>
            <w:tcW w:w="640"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宗地总面积（㎡）</w:t>
            </w:r>
          </w:p>
        </w:tc>
        <w:tc>
          <w:tcPr>
            <w:tcW w:w="487"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土地</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用途</w:t>
            </w:r>
          </w:p>
        </w:tc>
        <w:tc>
          <w:tcPr>
            <w:tcW w:w="4610" w:type="dxa"/>
            <w:gridSpan w:val="6"/>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规划指标</w:t>
            </w:r>
          </w:p>
        </w:tc>
        <w:tc>
          <w:tcPr>
            <w:tcW w:w="714"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出让</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年限（年）</w:t>
            </w:r>
          </w:p>
        </w:tc>
        <w:tc>
          <w:tcPr>
            <w:tcW w:w="714"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挂牌</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起始价</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43"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加价</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幅度</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670"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竞买</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保证金</w:t>
            </w:r>
          </w:p>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772"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保证金截止时间</w:t>
            </w:r>
          </w:p>
        </w:tc>
        <w:tc>
          <w:tcPr>
            <w:tcW w:w="773"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投资强度</w:t>
            </w:r>
          </w:p>
        </w:tc>
        <w:tc>
          <w:tcPr>
            <w:tcW w:w="1230"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产业类型</w:t>
            </w:r>
          </w:p>
        </w:tc>
        <w:tc>
          <w:tcPr>
            <w:tcW w:w="1095"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产业项目协议书签订部门</w:t>
            </w:r>
          </w:p>
        </w:tc>
        <w:tc>
          <w:tcPr>
            <w:tcW w:w="1095" w:type="dxa"/>
            <w:vMerge w:val="restart"/>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3"/>
              <w:spacing w:line="0" w:lineRule="atLeast"/>
              <w:jc w:val="center"/>
              <w:rPr>
                <w:rFonts w:hint="default" w:ascii="Times New Roman" w:hAnsi="Times New Roman" w:cs="Times New Roman"/>
                <w:sz w:val="18"/>
                <w:szCs w:val="18"/>
              </w:rPr>
            </w:pPr>
          </w:p>
        </w:tc>
        <w:tc>
          <w:tcPr>
            <w:tcW w:w="709" w:type="dxa"/>
            <w:vMerge w:val="continue"/>
          </w:tcPr>
          <w:p>
            <w:pPr>
              <w:pStyle w:val="13"/>
              <w:spacing w:line="0" w:lineRule="atLeast"/>
              <w:jc w:val="center"/>
              <w:rPr>
                <w:rFonts w:hint="default" w:ascii="Times New Roman" w:hAnsi="Times New Roman" w:cs="Times New Roman"/>
                <w:sz w:val="18"/>
                <w:szCs w:val="18"/>
              </w:rPr>
            </w:pPr>
          </w:p>
        </w:tc>
        <w:tc>
          <w:tcPr>
            <w:tcW w:w="661" w:type="dxa"/>
            <w:vMerge w:val="continue"/>
          </w:tcPr>
          <w:p>
            <w:pPr>
              <w:pStyle w:val="13"/>
              <w:spacing w:line="0" w:lineRule="atLeast"/>
              <w:jc w:val="center"/>
              <w:rPr>
                <w:rFonts w:hint="default" w:ascii="Times New Roman" w:hAnsi="Times New Roman" w:cs="Times New Roman"/>
                <w:sz w:val="18"/>
                <w:szCs w:val="18"/>
              </w:rPr>
            </w:pPr>
          </w:p>
        </w:tc>
        <w:tc>
          <w:tcPr>
            <w:tcW w:w="640" w:type="dxa"/>
            <w:vMerge w:val="continue"/>
          </w:tcPr>
          <w:p>
            <w:pPr>
              <w:pStyle w:val="13"/>
              <w:spacing w:line="0" w:lineRule="atLeast"/>
              <w:jc w:val="center"/>
              <w:rPr>
                <w:rFonts w:hint="default" w:ascii="Times New Roman" w:hAnsi="Times New Roman" w:cs="Times New Roman"/>
                <w:sz w:val="18"/>
                <w:szCs w:val="18"/>
              </w:rPr>
            </w:pPr>
          </w:p>
        </w:tc>
        <w:tc>
          <w:tcPr>
            <w:tcW w:w="487" w:type="dxa"/>
            <w:vMerge w:val="continue"/>
            <w:vAlign w:val="center"/>
          </w:tcPr>
          <w:p>
            <w:pPr>
              <w:pStyle w:val="13"/>
              <w:spacing w:line="0" w:lineRule="atLeast"/>
              <w:jc w:val="center"/>
              <w:rPr>
                <w:rFonts w:hint="default" w:ascii="Times New Roman" w:hAnsi="Times New Roman" w:cs="Times New Roman"/>
                <w:sz w:val="18"/>
                <w:szCs w:val="18"/>
              </w:rPr>
            </w:pPr>
          </w:p>
        </w:tc>
        <w:tc>
          <w:tcPr>
            <w:tcW w:w="695"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计算指标用地面积（㎡）</w:t>
            </w:r>
          </w:p>
        </w:tc>
        <w:tc>
          <w:tcPr>
            <w:tcW w:w="755"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容积率R</w:t>
            </w:r>
          </w:p>
        </w:tc>
        <w:tc>
          <w:tcPr>
            <w:tcW w:w="1000"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计容建筑面积S（㎡）</w:t>
            </w:r>
          </w:p>
        </w:tc>
        <w:tc>
          <w:tcPr>
            <w:tcW w:w="559"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建筑系数（%）</w:t>
            </w:r>
          </w:p>
        </w:tc>
        <w:tc>
          <w:tcPr>
            <w:tcW w:w="74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绿地率（%）</w:t>
            </w:r>
          </w:p>
        </w:tc>
        <w:tc>
          <w:tcPr>
            <w:tcW w:w="854"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机动车停车位配建要求</w:t>
            </w:r>
          </w:p>
        </w:tc>
        <w:tc>
          <w:tcPr>
            <w:tcW w:w="714" w:type="dxa"/>
            <w:vMerge w:val="continue"/>
          </w:tcPr>
          <w:p>
            <w:pPr>
              <w:pStyle w:val="13"/>
              <w:spacing w:line="0" w:lineRule="atLeast"/>
              <w:jc w:val="center"/>
              <w:rPr>
                <w:rFonts w:hint="default" w:ascii="Times New Roman" w:hAnsi="Times New Roman" w:cs="Times New Roman"/>
                <w:sz w:val="18"/>
                <w:szCs w:val="18"/>
              </w:rPr>
            </w:pPr>
          </w:p>
        </w:tc>
        <w:tc>
          <w:tcPr>
            <w:tcW w:w="714" w:type="dxa"/>
            <w:vMerge w:val="continue"/>
          </w:tcPr>
          <w:p>
            <w:pPr>
              <w:pStyle w:val="13"/>
              <w:spacing w:line="0" w:lineRule="atLeast"/>
              <w:jc w:val="center"/>
              <w:rPr>
                <w:rFonts w:hint="default" w:ascii="Times New Roman" w:hAnsi="Times New Roman" w:cs="Times New Roman"/>
                <w:sz w:val="18"/>
                <w:szCs w:val="18"/>
              </w:rPr>
            </w:pPr>
          </w:p>
        </w:tc>
        <w:tc>
          <w:tcPr>
            <w:tcW w:w="743" w:type="dxa"/>
            <w:vMerge w:val="continue"/>
          </w:tcPr>
          <w:p>
            <w:pPr>
              <w:pStyle w:val="13"/>
              <w:spacing w:line="0" w:lineRule="atLeast"/>
              <w:jc w:val="center"/>
              <w:rPr>
                <w:rFonts w:hint="default" w:ascii="Times New Roman" w:hAnsi="Times New Roman" w:cs="Times New Roman"/>
                <w:sz w:val="18"/>
                <w:szCs w:val="18"/>
              </w:rPr>
            </w:pPr>
          </w:p>
        </w:tc>
        <w:tc>
          <w:tcPr>
            <w:tcW w:w="670" w:type="dxa"/>
            <w:vMerge w:val="continue"/>
          </w:tcPr>
          <w:p>
            <w:pPr>
              <w:pStyle w:val="13"/>
              <w:spacing w:line="0" w:lineRule="atLeast"/>
              <w:jc w:val="center"/>
              <w:rPr>
                <w:rFonts w:hint="default" w:ascii="Times New Roman" w:hAnsi="Times New Roman" w:cs="Times New Roman"/>
                <w:sz w:val="18"/>
                <w:szCs w:val="18"/>
              </w:rPr>
            </w:pPr>
          </w:p>
        </w:tc>
        <w:tc>
          <w:tcPr>
            <w:tcW w:w="772" w:type="dxa"/>
            <w:vMerge w:val="continue"/>
          </w:tcPr>
          <w:p>
            <w:pPr>
              <w:pStyle w:val="13"/>
              <w:spacing w:line="0" w:lineRule="atLeast"/>
              <w:jc w:val="center"/>
              <w:rPr>
                <w:rFonts w:hint="default" w:ascii="Times New Roman" w:hAnsi="Times New Roman" w:cs="Times New Roman"/>
                <w:sz w:val="18"/>
                <w:szCs w:val="18"/>
              </w:rPr>
            </w:pPr>
          </w:p>
        </w:tc>
        <w:tc>
          <w:tcPr>
            <w:tcW w:w="773" w:type="dxa"/>
            <w:vMerge w:val="continue"/>
          </w:tcPr>
          <w:p>
            <w:pPr>
              <w:pStyle w:val="13"/>
              <w:spacing w:line="0" w:lineRule="atLeast"/>
              <w:jc w:val="center"/>
              <w:rPr>
                <w:rFonts w:hint="default" w:ascii="Times New Roman" w:hAnsi="Times New Roman" w:cs="Times New Roman"/>
                <w:sz w:val="18"/>
                <w:szCs w:val="18"/>
              </w:rPr>
            </w:pPr>
          </w:p>
        </w:tc>
        <w:tc>
          <w:tcPr>
            <w:tcW w:w="1230" w:type="dxa"/>
            <w:vMerge w:val="continue"/>
          </w:tcPr>
          <w:p>
            <w:pPr>
              <w:pStyle w:val="13"/>
              <w:spacing w:line="0" w:lineRule="atLeast"/>
              <w:jc w:val="center"/>
              <w:rPr>
                <w:rFonts w:hint="default" w:ascii="Times New Roman" w:hAnsi="Times New Roman" w:cs="Times New Roman"/>
                <w:sz w:val="18"/>
                <w:szCs w:val="18"/>
              </w:rPr>
            </w:pPr>
          </w:p>
        </w:tc>
        <w:tc>
          <w:tcPr>
            <w:tcW w:w="1095" w:type="dxa"/>
            <w:vMerge w:val="continue"/>
          </w:tcPr>
          <w:p>
            <w:pPr>
              <w:pStyle w:val="13"/>
              <w:spacing w:line="0" w:lineRule="atLeast"/>
              <w:jc w:val="center"/>
              <w:rPr>
                <w:rFonts w:hint="default" w:ascii="Times New Roman" w:hAnsi="Times New Roman" w:cs="Times New Roman"/>
                <w:sz w:val="18"/>
                <w:szCs w:val="18"/>
              </w:rPr>
            </w:pPr>
          </w:p>
        </w:tc>
        <w:tc>
          <w:tcPr>
            <w:tcW w:w="1095" w:type="dxa"/>
            <w:vMerge w:val="continue"/>
          </w:tcPr>
          <w:p>
            <w:pPr>
              <w:pStyle w:val="13"/>
              <w:spacing w:line="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惠仲土（用地）挂[2023]0</w:t>
            </w:r>
            <w:r>
              <w:rPr>
                <w:rFonts w:hint="default" w:ascii="Times New Roman" w:hAnsi="Times New Roman" w:cs="Times New Roman"/>
                <w:sz w:val="18"/>
                <w:szCs w:val="18"/>
                <w:lang w:val="en-US" w:eastAsia="zh-CN"/>
              </w:rPr>
              <w:t>28</w:t>
            </w:r>
            <w:r>
              <w:rPr>
                <w:rFonts w:hint="default" w:ascii="Times New Roman" w:hAnsi="Times New Roman" w:cs="Times New Roman"/>
                <w:sz w:val="18"/>
                <w:szCs w:val="18"/>
              </w:rPr>
              <w:t>号</w:t>
            </w:r>
          </w:p>
        </w:tc>
        <w:tc>
          <w:tcPr>
            <w:tcW w:w="709"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惠州潼湖生态智慧区国际合作产业园西区</w:t>
            </w:r>
          </w:p>
        </w:tc>
        <w:tc>
          <w:tcPr>
            <w:tcW w:w="661"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ZKD-007-07-02</w:t>
            </w:r>
          </w:p>
        </w:tc>
        <w:tc>
          <w:tcPr>
            <w:tcW w:w="640"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lang w:val="en-US" w:eastAsia="zh-CN"/>
              </w:rPr>
              <w:t>43284</w:t>
            </w:r>
            <w:r>
              <w:rPr>
                <w:rFonts w:hint="default" w:ascii="Times New Roman" w:hAnsi="Times New Roman" w:cs="Times New Roman"/>
                <w:kern w:val="0"/>
                <w:sz w:val="18"/>
                <w:szCs w:val="18"/>
              </w:rPr>
              <w:t>（其中使用权面积为</w:t>
            </w:r>
            <w:r>
              <w:rPr>
                <w:rFonts w:hint="default" w:ascii="Times New Roman" w:hAnsi="Times New Roman" w:cs="Times New Roman"/>
                <w:kern w:val="0"/>
                <w:sz w:val="18"/>
                <w:szCs w:val="18"/>
                <w:lang w:val="en-US" w:eastAsia="zh-CN"/>
              </w:rPr>
              <w:t>35095</w:t>
            </w:r>
            <w:r>
              <w:rPr>
                <w:rFonts w:hint="default" w:ascii="Times New Roman" w:hAnsi="Times New Roman" w:cs="Times New Roman"/>
                <w:kern w:val="0"/>
                <w:sz w:val="18"/>
                <w:szCs w:val="18"/>
              </w:rPr>
              <w:t>㎡）</w:t>
            </w:r>
          </w:p>
        </w:tc>
        <w:tc>
          <w:tcPr>
            <w:tcW w:w="487"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sz w:val="18"/>
                <w:szCs w:val="18"/>
              </w:rPr>
              <w:t>工业用地</w:t>
            </w:r>
          </w:p>
        </w:tc>
        <w:tc>
          <w:tcPr>
            <w:tcW w:w="695"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43284</w:t>
            </w:r>
          </w:p>
        </w:tc>
        <w:tc>
          <w:tcPr>
            <w:tcW w:w="755"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sz w:val="18"/>
                <w:szCs w:val="18"/>
                <w:lang w:val="en-US" w:eastAsia="zh-CN"/>
              </w:rPr>
              <w:t>2.0</w:t>
            </w:r>
            <w:r>
              <w:rPr>
                <w:rFonts w:hint="default" w:ascii="Times New Roman" w:hAnsi="Times New Roman" w:cs="Times New Roman"/>
                <w:sz w:val="18"/>
                <w:szCs w:val="18"/>
              </w:rPr>
              <w:t>≤R≤</w:t>
            </w:r>
            <w:r>
              <w:rPr>
                <w:rFonts w:hint="default" w:ascii="Times New Roman" w:hAnsi="Times New Roman" w:cs="Times New Roman"/>
                <w:sz w:val="18"/>
                <w:szCs w:val="18"/>
                <w:lang w:val="en-US" w:eastAsia="zh-CN"/>
              </w:rPr>
              <w:t>2.5</w:t>
            </w:r>
          </w:p>
        </w:tc>
        <w:tc>
          <w:tcPr>
            <w:tcW w:w="1000"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sz w:val="18"/>
                <w:szCs w:val="18"/>
                <w:lang w:val="en-US" w:eastAsia="zh-CN"/>
              </w:rPr>
              <w:t>86568</w:t>
            </w:r>
            <w:r>
              <w:rPr>
                <w:rFonts w:hint="default" w:ascii="Times New Roman" w:hAnsi="Times New Roman" w:cs="Times New Roman"/>
                <w:sz w:val="18"/>
                <w:szCs w:val="18"/>
              </w:rPr>
              <w:t>≤S≤</w:t>
            </w:r>
            <w:r>
              <w:rPr>
                <w:rFonts w:hint="default" w:ascii="Times New Roman" w:hAnsi="Times New Roman" w:cs="Times New Roman"/>
                <w:sz w:val="18"/>
                <w:szCs w:val="18"/>
                <w:lang w:val="en-US" w:eastAsia="zh-CN"/>
              </w:rPr>
              <w:t>108210</w:t>
            </w:r>
          </w:p>
        </w:tc>
        <w:tc>
          <w:tcPr>
            <w:tcW w:w="559"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sz w:val="18"/>
                <w:szCs w:val="18"/>
              </w:rPr>
              <w:t>≥30</w:t>
            </w:r>
          </w:p>
        </w:tc>
        <w:tc>
          <w:tcPr>
            <w:tcW w:w="747"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sz w:val="18"/>
                <w:szCs w:val="18"/>
              </w:rPr>
              <w:t>15≤绿地率≤20</w:t>
            </w:r>
          </w:p>
        </w:tc>
        <w:tc>
          <w:tcPr>
            <w:tcW w:w="854"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按《规划设计条件告知书》要求配建</w:t>
            </w:r>
          </w:p>
        </w:tc>
        <w:tc>
          <w:tcPr>
            <w:tcW w:w="714"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sz w:val="18"/>
                <w:szCs w:val="18"/>
              </w:rPr>
              <w:t>50</w:t>
            </w:r>
          </w:p>
        </w:tc>
        <w:tc>
          <w:tcPr>
            <w:tcW w:w="714"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4482</w:t>
            </w:r>
          </w:p>
        </w:tc>
        <w:tc>
          <w:tcPr>
            <w:tcW w:w="743"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sz w:val="18"/>
                <w:szCs w:val="18"/>
                <w:lang w:val="en-US" w:eastAsia="zh-CN"/>
              </w:rPr>
              <w:t>50</w:t>
            </w:r>
          </w:p>
        </w:tc>
        <w:tc>
          <w:tcPr>
            <w:tcW w:w="670" w:type="dxa"/>
            <w:vAlign w:val="center"/>
          </w:tcPr>
          <w:p>
            <w:pPr>
              <w:pStyle w:val="13"/>
              <w:spacing w:line="0" w:lineRule="atLeas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897</w:t>
            </w:r>
          </w:p>
        </w:tc>
        <w:tc>
          <w:tcPr>
            <w:tcW w:w="772"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2023年</w:t>
            </w:r>
            <w:r>
              <w:rPr>
                <w:rFonts w:hint="default" w:ascii="Times New Roman" w:hAnsi="Times New Roman" w:cs="Times New Roman"/>
                <w:sz w:val="18"/>
                <w:szCs w:val="18"/>
                <w:lang w:val="en-US" w:eastAsia="zh-CN"/>
              </w:rPr>
              <w:t>5</w:t>
            </w:r>
            <w:r>
              <w:rPr>
                <w:rFonts w:hint="default" w:ascii="Times New Roman" w:hAnsi="Times New Roman" w:cs="Times New Roman"/>
                <w:sz w:val="18"/>
                <w:szCs w:val="18"/>
              </w:rPr>
              <w:t>月</w:t>
            </w:r>
            <w:r>
              <w:rPr>
                <w:rFonts w:hint="eastAsia" w:cs="Times New Roman"/>
                <w:sz w:val="18"/>
                <w:szCs w:val="18"/>
                <w:lang w:val="en-US" w:eastAsia="zh-CN"/>
              </w:rPr>
              <w:t>5</w:t>
            </w:r>
            <w:r>
              <w:rPr>
                <w:rFonts w:hint="default" w:ascii="Times New Roman" w:hAnsi="Times New Roman" w:cs="Times New Roman"/>
                <w:sz w:val="18"/>
                <w:szCs w:val="18"/>
              </w:rPr>
              <w:t>日9时</w:t>
            </w:r>
          </w:p>
        </w:tc>
        <w:tc>
          <w:tcPr>
            <w:tcW w:w="773"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 xml:space="preserve"> 12199</w:t>
            </w:r>
            <w:r>
              <w:rPr>
                <w:rFonts w:hint="default" w:ascii="Times New Roman" w:hAnsi="Times New Roman" w:cs="Times New Roman"/>
                <w:sz w:val="18"/>
                <w:szCs w:val="18"/>
              </w:rPr>
              <w:t>元/㎡</w:t>
            </w:r>
          </w:p>
        </w:tc>
        <w:tc>
          <w:tcPr>
            <w:tcW w:w="1230" w:type="dxa"/>
            <w:vAlign w:val="center"/>
          </w:tcPr>
          <w:p>
            <w:pPr>
              <w:pStyle w:val="13"/>
              <w:spacing w:line="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锂离子电池自动化、智能化生产成套制造装备</w:t>
            </w:r>
          </w:p>
        </w:tc>
        <w:tc>
          <w:tcPr>
            <w:tcW w:w="1095" w:type="dxa"/>
            <w:vAlign w:val="center"/>
          </w:tcPr>
          <w:p>
            <w:pPr>
              <w:pStyle w:val="13"/>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惠州潼湖生态智慧区管理委员会</w:t>
            </w:r>
          </w:p>
        </w:tc>
        <w:tc>
          <w:tcPr>
            <w:tcW w:w="1095" w:type="dxa"/>
            <w:vAlign w:val="center"/>
          </w:tcPr>
          <w:p>
            <w:pPr>
              <w:pStyle w:val="13"/>
              <w:spacing w:line="0" w:lineRule="atLeast"/>
              <w:jc w:val="center"/>
              <w:rPr>
                <w:rFonts w:hint="default" w:ascii="Times New Roman" w:hAnsi="Times New Roman" w:eastAsia="宋体" w:cs="Times New Roman"/>
                <w:sz w:val="18"/>
                <w:szCs w:val="18"/>
                <w:lang w:val="en-US" w:eastAsia="zh-CN"/>
              </w:rPr>
            </w:pPr>
            <w:r>
              <w:rPr>
                <w:rFonts w:hint="default" w:ascii="Times New Roman" w:hAnsi="Times New Roman" w:cs="Times New Roman"/>
                <w:kern w:val="0"/>
                <w:sz w:val="18"/>
                <w:szCs w:val="18"/>
              </w:rPr>
              <w:t>行政办公及生活服务配套设施用地面积不得超过总用地面积的7%</w:t>
            </w:r>
            <w:r>
              <w:rPr>
                <w:rFonts w:hint="default" w:ascii="Times New Roman" w:hAnsi="Times New Roman" w:cs="Times New Roman"/>
                <w:kern w:val="0"/>
                <w:sz w:val="18"/>
                <w:szCs w:val="18"/>
                <w:lang w:eastAsia="zh-CN"/>
              </w:rPr>
              <w:t>。</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jJkOTMwNzExN2Y0YzQyY2Q0NzY0NDgxZjUzMzUifQ=="/>
  </w:docVars>
  <w:rsids>
    <w:rsidRoot w:val="71FB1ABE"/>
    <w:rsid w:val="045105B6"/>
    <w:rsid w:val="058A138B"/>
    <w:rsid w:val="08055CAB"/>
    <w:rsid w:val="0848533A"/>
    <w:rsid w:val="090F457D"/>
    <w:rsid w:val="0BE235BB"/>
    <w:rsid w:val="0FAC3946"/>
    <w:rsid w:val="14B464A6"/>
    <w:rsid w:val="16B0051C"/>
    <w:rsid w:val="17A77181"/>
    <w:rsid w:val="1A1A0363"/>
    <w:rsid w:val="1DC85359"/>
    <w:rsid w:val="20F70BFB"/>
    <w:rsid w:val="220B2CE7"/>
    <w:rsid w:val="23AD4CDF"/>
    <w:rsid w:val="23B168DA"/>
    <w:rsid w:val="24DE3D5B"/>
    <w:rsid w:val="28B10AB2"/>
    <w:rsid w:val="28F142E8"/>
    <w:rsid w:val="2B1A3A1B"/>
    <w:rsid w:val="2C656693"/>
    <w:rsid w:val="2DBF648A"/>
    <w:rsid w:val="2E9B217D"/>
    <w:rsid w:val="31962890"/>
    <w:rsid w:val="321F56BE"/>
    <w:rsid w:val="383E1D77"/>
    <w:rsid w:val="39875E43"/>
    <w:rsid w:val="3CD00C90"/>
    <w:rsid w:val="3ECF4CF9"/>
    <w:rsid w:val="41A6583F"/>
    <w:rsid w:val="45CE0C8A"/>
    <w:rsid w:val="4C6709DD"/>
    <w:rsid w:val="4E4A17FE"/>
    <w:rsid w:val="508C1DCB"/>
    <w:rsid w:val="51E910B1"/>
    <w:rsid w:val="55E03453"/>
    <w:rsid w:val="56C2517C"/>
    <w:rsid w:val="5B6E2B54"/>
    <w:rsid w:val="5E7E7DF8"/>
    <w:rsid w:val="60DE67F4"/>
    <w:rsid w:val="64131D21"/>
    <w:rsid w:val="654B7368"/>
    <w:rsid w:val="67E718D7"/>
    <w:rsid w:val="6D967499"/>
    <w:rsid w:val="71FB1ABE"/>
    <w:rsid w:val="74AA42AD"/>
    <w:rsid w:val="763A3FE7"/>
    <w:rsid w:val="78323697"/>
    <w:rsid w:val="78325867"/>
    <w:rsid w:val="795919BA"/>
    <w:rsid w:val="7E0E2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_Style 1"/>
    <w:basedOn w:val="8"/>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我的正文"/>
    <w:basedOn w:val="11"/>
    <w:qFormat/>
    <w:uiPriority w:val="0"/>
    <w:pPr>
      <w:spacing w:line="560" w:lineRule="exact"/>
      <w:ind w:firstLine="200" w:firstLineChars="200"/>
    </w:pPr>
    <w:rPr>
      <w:rFonts w:eastAsia="仿宋_GB2312"/>
      <w:sz w:val="32"/>
      <w:szCs w:val="32"/>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
    <w:qFormat/>
    <w:uiPriority w:val="0"/>
    <w:pPr>
      <w:widowControl/>
    </w:pPr>
    <w:rPr>
      <w:kern w:val="0"/>
      <w:szCs w:val="21"/>
    </w:rPr>
  </w:style>
  <w:style w:type="paragraph" w:customStyle="1" w:styleId="15">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3284</Words>
  <Characters>3632</Characters>
  <Lines>0</Lines>
  <Paragraphs>0</Paragraphs>
  <TotalTime>13</TotalTime>
  <ScaleCrop>false</ScaleCrop>
  <LinksUpToDate>false</LinksUpToDate>
  <CharactersWithSpaces>3672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✨亮亮✨</cp:lastModifiedBy>
  <cp:lastPrinted>2023-03-29T03:17:00Z</cp:lastPrinted>
  <dcterms:modified xsi:type="dcterms:W3CDTF">2023-03-29T07:40:55Z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9B4243700145452AB0FBC1ABFB40F98B</vt:lpwstr>
  </property>
</Properties>
</file>